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Приложение №30</w:t>
      </w:r>
    </w:p>
    <w:p w:rsid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  <w:t>Значения коэффициентов для определения размера неоплаты или неполной оплаты затрат медицинской организации на оказание медицинской помощи и размера штрафа за неоказание, несвоевременное оказание либо оказание медицинской помощи ненадлежащего качества</w:t>
      </w:r>
    </w:p>
    <w:p w:rsidR="00C11B53" w:rsidRPr="00927861" w:rsidRDefault="00C11B53" w:rsidP="00C11B53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22272F"/>
          <w:sz w:val="24"/>
          <w:szCs w:val="24"/>
          <w:lang w:eastAsia="ru-RU"/>
        </w:rPr>
      </w:pPr>
      <w:bookmarkStart w:id="0" w:name="_GoBack"/>
      <w:bookmarkEnd w:id="0"/>
    </w:p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303"/>
        <w:gridCol w:w="4859"/>
        <w:gridCol w:w="1603"/>
        <w:gridCol w:w="1902"/>
      </w:tblGrid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Код нарушения/ дефекта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Перечень оснований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Значение коэффициента для определения размера неоплаты или</w:t>
            </w:r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неполной оплаты затрат медицинской организации на оказание медицинской помощи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Значение коэффициента для определения размера штрафа за неоказание, несвоевременное оказание либо оказание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медицинской</w:t>
            </w:r>
            <w:proofErr w:type="gramEnd"/>
          </w:p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помощи ненадлежащего качества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1. Нарушения, выявляемые при проведении медико-экономического контроля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условий оказания медицинской помощи, в том числе сроков ожидания медицинской помощи, несвоевременное включение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Невключение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группу диспансерного наблюдения лиц, которым по результатам проведения профилактических мероприятий или оказания иной медицинской помощи впервые установлены диагнозы, при которых предусмотрено диспансерное наблюдение в соответствии с порядком проведения диспансерного наблюдения (в случае, если установление диагноза и постановка на диспансерное наблюдение должно быть осуществлено в рамках одного случая оказания медицинской помощи).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лица, медицинская помощь которому должна быть оказана в стационаре другого профиля (непрофильная госпитализация), кроме случаев госпитализации для оказания медицинской помощи в неотложной и экстренной форме на койки терапевтического и хирургического профилей.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оформлением и предъявлением на оплату счетов и реестров счетов,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ошибок и/или недостоверной информации в реквизитах счета;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сумма счета не соответствует итоговой сумме предоставленной медицинской помощи по реестру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незаполненных полей реестра счетов, обязательных к заполнению, в том числе отсутствие указаний о включении в группу диспансерного наблюдения лица, которому установлен диагноз, при котором предусмотрено диспансерное наблюдение, отсутствие сведений о страховом случае с летальным исходом при наличии сведений о смерти застрахованного лица в период оказания ему медицинской помощи по данным персонифицированного учета сведений о застрахованных лицах и (или) о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медицинской помощи, оказанной застрахованным лицам;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заполнение полей реестра</w:t>
            </w:r>
          </w:p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счетов;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заявленная сумма по позиции реестра счетов не корректна (содержит арифметическую ошибку);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1.4.6.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 в реестре счетов не соответствует отчетному периоду/периоду оплаты;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Введение в реестр счетов недостоверных персональных данных застрахованного лица, приводящее к невозможности его полной идентификации (включая ошибки в серии и номере полиса обязательного медицинского страхования, адресе);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медицинской помощи, не входящей в программу обязательного медицинского страхования,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видов медицинской помощи, не входящих в программу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 </w:t>
            </w:r>
            <w:hyperlink r:id="rId5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предъявление к оплате медицинской помощи сверх размера финансового обеспечения распределенного объема предоставления медицинской помощи, установленного медицинской организации в соответствии с </w:t>
            </w:r>
            <w:hyperlink r:id="rId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1.6.4.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медицинской помощи, подлежащей оплате из других источников финансирования, в том числе тяжелые несчастные случаи на производстве, оплачиваемые Фондом пенсионного и социального страхования Российской Федерации, медицинских услуг, оказываемой частными медицинскими организациями в рамках пилотного проекта по вовлечению частных медицинских организаций в оказание медико-социальных услуг лицам в возрасте 65 лет и старше, являющимся гражданами Российской Федерации, в том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числе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проживающим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в сельской местности.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1.7.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необоснованным применением тарифа на оплату медицинской помощи,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помощи по тарифам на оплату медицинской помощи, неустановленным в соответствии с </w:t>
            </w:r>
            <w:hyperlink r:id="rId7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1.7.2.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случаев оказания медицинской по тарифам на оплату медицинской помощи, не соответствующим установленным в соответствии с </w:t>
            </w:r>
            <w:hyperlink r:id="rId8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включением в реестр счетов нелицензированных видов медицинской деятельности, в том числе с нарушением лицензионных требований: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 по видам медицинской деятельности, отсутствующим в действующей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реестров счетов в случае прекращения действия лицензии медицинской организации на осуществление медицинской деятельности по случаям оказания медицинской помощи, завершившимся после прекращения действия лицензии медицинской организации;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1.8.3.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предоставление на оплату реестров счетов, в случае нарушения лицензионных условий и требований при оказании медицинской помощи: в том числе, данные лицензии не соответствуют фактическим адресам осуществления медицинской организацией лицензируемого вида деятельности (на основании информации лицензирующих органов).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страховых случаев, при которых медицинская помощь оказана медицинским работником, не имеющим сертификата или свидетельства об аккредитации специалиста по профилю оказания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Нарушения, связанные с повторным включением в реестр счетов случаев оказания медицинской помощи,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позиция реестра счетов оплачена ранее (повторное выставление счета на оплату случаев оказания медицинской помощи, которые были оплачены ранее);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дублирование случаев оказания медицинской помощи в одном реестре;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отдельной медицинской услуги, включенной в счет, учтена в тарифе на оплату медицинской помощи другой услуги, также предъявленной к оплате медицинской организацией;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стоимость медицинской услуги включена в норматив финансового обеспечения оплаты медицинской помощи, оказанной амбулаторно, на прикрепленное население, застрахованное по обязательному медицинскому страхованию.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1.10.5.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включение в реестр счетов медицинской помощи,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оказанной амбулаторно, в период пребывания застрахованного лица в условиях стационара (кроме дня поступления и выписки из стационара, а также оказания медицинской помощи (консультаций) в других медицинских организациях в экстренной и неотложной форме);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1.10.6.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реестр счетов нескольких страховых случаев, при которых медицинская помощь оказана застрахованному лицу стационарно в один период оплаты с пересечением или совпадением сроков лечения.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2. Нарушения, выявляемые при проведении медико-экономической экспертизы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программой обязательного медицинского страхования;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Нарушение условий оказания скорой медицинской помощи, выразившееся в несоблюдении установленного программой обязательного медицинского страхования времени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доезда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бригады скорой медицинской помощи, при летальном исходе до приезда бригады скорой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0" w:anchor="/document/77313983/entry/1502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2.3.1.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2" w:anchor="/document/77313983/entry/1523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2.3.2.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4" w:anchor="/document/77313983/entry/1523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2.3.3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6" w:anchor="/document/77313983/entry/1523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2.4.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18" w:anchor="/document/77313983/entry/15024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19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0" w:anchor="/document/77313983/entry/15025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2.5.1.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1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2" w:anchor="/document/77313983/entry/15251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2.5.2.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3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4" w:anchor="/document/77313983/entry/15252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2.5.3.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5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6" w:anchor="/document/77313983/entry/15253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2.6.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Утратил силу с 12 марта 2022 г. - </w:t>
            </w:r>
            <w:hyperlink r:id="rId27" w:anchor="/document/403592114/entry/1012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Приказ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Минздрава России от 21 февраля 2022 г. N 100Н</w:t>
            </w:r>
          </w:p>
          <w:p w:rsidR="00927861" w:rsidRPr="00927861" w:rsidRDefault="00EB601F" w:rsidP="00927861">
            <w:pPr>
              <w:shd w:val="clear" w:color="auto" w:fill="F0E9D3"/>
              <w:spacing w:line="240" w:lineRule="auto"/>
              <w:rPr>
                <w:rFonts w:ascii="Times New Roman" w:eastAsia="Times New Roman" w:hAnsi="Times New Roman" w:cs="Times New Roman"/>
                <w:color w:val="464C55"/>
                <w:lang w:eastAsia="ru-RU"/>
              </w:rPr>
            </w:pPr>
            <w:hyperlink r:id="rId28" w:anchor="/document/77313983/entry/15026" w:history="1">
              <w:r w:rsidR="00927861"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См. предыдущую редакцию</w:t>
              </w:r>
            </w:hyperlink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Представление в реестрах счетов повторных случаев госпитализации застрахованного лица по одному и тому же заболеванию с длительностью три дня и менее (за исключением случаев, связанных с патологией беременности и родами) в течение четырнадцати календарных дней при оказании медицинской помощи в указанный период в амбулаторных условиях (за исключением случаев, при которых стоимость отдельной медицинской услуги, включенной в счет, учтена в тарифе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на оплату медицинской помощи другой услуги, также предъявленной к оплате медицинской организацией).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представление в реестрах счетов случаев оказания застрахованному лицу медицинской помощи, оказанной в условиях дневного стационара в период пребывания в условиях круглосуточного стационара (кроме дня поступления и выписки из стационара, а также консультаций в других медицинских организациях при экстренных и неотложных состояниях).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Взимание платы с застрахованных лиц за оказанную медицинскую помощь, входящую в базовую либо территориальную программу обязательного медицинского страхования, при оказании медицинской помощи в рамках базовой либо территориальной программы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Приобретение пациентом или его представителем в период оказания медицинской помощи по назначению врача лекарственных препаратов для медицинского применения, включенных в </w:t>
            </w:r>
            <w:hyperlink r:id="rId29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0" w:anchor="/document/72243038/entry/151111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1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и (или) медицинских изделий, включенных в </w:t>
            </w:r>
            <w:hyperlink r:id="rId31" w:anchor="/document/72143892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медицинских изделий, имплантируемых в организм человека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2" w:anchor="/document/72243038/entry/15222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2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на основе </w:t>
            </w:r>
            <w:hyperlink r:id="rId33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с учетом </w:t>
            </w:r>
            <w:hyperlink r:id="rId34" w:anchor="/document/5181709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стандартов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медицинской помощи.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Отсутствие </w:t>
            </w: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 реестре счетов сведений о страховом случае с летальным исходом при наличии сведений о смерти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застрахованного лица в период оказания ему медицинской помощи в первичной медицинской документации и учетно-отчетной документации медицинской организации.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Непредставление медицинской документации, учетно-отчетной документации, подтверждающей факт оказания застрахованному лицу медицинской помощи в медицинской организации, а также результатов внутреннего и внешнего контроля медицинской организации, безопасности оказания медицинской помощи без объективных причин в течение 10 рабочих дней после получения медицинской организацией соответствующего запроса от Федерального фонда обязательного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медицинского страхования или территориального фонда обязательного медицинского страхования, или страховой медицинской организации, или специалиста-эксперта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эксперта качества медицинской помощи, действующего по их поручению.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2.13.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документации (не соблюдение требований к оформлению) информированного добровольного согласия застрахованного лица на медицинское вмешательство или отказа застрахованного лица от медицинского вмешательства в установленных законодательством Российской Федерации случаях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vertAlign w:val="superscript"/>
                <w:lang w:eastAsia="ru-RU"/>
              </w:rPr>
              <w:t> </w:t>
            </w:r>
            <w:hyperlink r:id="rId35" w:anchor="/document/72243038/entry/153333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vertAlign w:val="superscript"/>
                  <w:lang w:eastAsia="ru-RU"/>
                </w:rPr>
                <w:t>3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Наличие признаков искажения сведений, представленных в медицинской документации (дописки, исправления, "вклейки", полное переоформление с искажением сведений о проведенных диагностических и лечебных мероприятий, клинической картине заболевания; расхождение сведений об оказании медицинской помощи в различных разделах медицинской документации и/или учетно-отчетной документации, запрошенной на проведение экспертизы).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Дата оказания медицинской помощи, зарегистрированная в первичной медицинской документации и реестре счетов, не соответствует табелю учета рабочего времени врача (в том числе, оказание медицинской помощи в период отпуска, обучения, командировок, выходных дней).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Несоответствие данных медицинской документации данным реестра счетов,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оплаченный случай оказания медицинской помощи не соответствует тарифу, установленному </w:t>
            </w:r>
            <w:hyperlink r:id="rId36" w:anchor="/document/12180688/entry/2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законодательством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об обязательном медицинском страховании;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включение в счет на оплату медицинской помощи при отсутствии в медицинской документации сведений, подтверждающих факт оказания медицинской помощи застрахованному лицу.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2.16.3.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некорректное (неполное) отражение в реестре счета сведений медицинской документации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карте стационарного больного протокола врачебной комиссии в случаях назначения застрахованному лицу лекарственного препарата, не входящего в </w:t>
            </w:r>
            <w:hyperlink r:id="rId37" w:anchor="/document/72861778/entry/100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перечень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жизненно необходимых и важнейших лекарственных препаратов.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2.18.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сроков ожидания медицинской помощи, установленных территориальной либо базовой программой обязательного медицинского страхования.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927861">
        <w:tc>
          <w:tcPr>
            <w:tcW w:w="5000" w:type="pct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b/>
                <w:bCs/>
                <w:color w:val="22272F"/>
                <w:lang w:eastAsia="ru-RU"/>
              </w:rPr>
              <w:t>Раздел 3. Нарушения, выявляемые при проведении экспертизы качества медицинской помощи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Установление неверного диагноза, связанное с невыполнением, несвоевременным или ненадлежащим выполнением необходимых пациенту диагностических и (или) лечебных мероприятий, оперативных вмешательств в соответствии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с </w:t>
            </w:r>
            <w:hyperlink r:id="rId38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39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и с учетом </w:t>
            </w:r>
            <w:hyperlink r:id="rId40" w:anchor="/document/5181709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стандартов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медицинской помощи, в том числе по результатам проведенного диспансерного наблюдения, с учетом рекомендаций по применению методов профилактики, диагностики, лечения и реабилитации, данных медицинскими работниками национальных медицинских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центров в ходе консультаций/консилиумов с применением телемедицинских технологий: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удлинению или укорочению сроков лечения сверх установленных (за исключением случаев отказа застрахованного лица от медицинского вмешательства в установленных законодательством Российской Федерации случаях;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приведшее к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инвалидизации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(в том числе при наличии расхождений клинического и патологоанатомического диагнозов);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Невыполнение, несвоевременное или ненадлежащее выполнение необходимых пациенту диагностических и (или) лечебных мероприятий, оперативных вмешательств в соответствии с </w:t>
            </w:r>
            <w:hyperlink r:id="rId41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 на основе </w:t>
            </w:r>
            <w:hyperlink r:id="rId42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и с учетом </w:t>
            </w:r>
            <w:hyperlink r:id="rId43" w:anchor="/document/5181709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стандартов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медицинской помощи, в том числе по результатам проведенного диспансерного наблюдения, рекомендаций по применению методов профилактики, диагностики, лечения и реабилитации, данных медицинскими работниками национальных медицинских исследовательских центров в ходе консультаций/консилиумов с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применением телемедицинских технологий: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 повлиявшее на состояние здоровья застрахованного лица;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0,4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инвалидизации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приведшее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 от медицинского вмешательства в установленных законодательством Российской Федерации случаях);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3.2.5.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рекомендаций медицинских работников национальных медицинских исследовательских центров по применению методов профилактики, диагностики, лечения и реабилитации, данных при проведении указанными центрами консультаций/консилиумов с применением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консультаций с применением телемедицинских технологий, при необоснованном невыполнении данных рекомендаций;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3.2.6.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по результатам проведенного диспансерного наблюдения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Выполнение непоказанных, неоправданных с клинической точки зрения, не регламентированных </w:t>
            </w:r>
            <w:hyperlink r:id="rId44" w:anchor="/document/5755550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порядками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оказания медицинской помощи, </w:t>
            </w:r>
            <w:hyperlink r:id="rId45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клиническими рекомендациями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 </w:t>
            </w:r>
            <w:hyperlink r:id="rId46" w:anchor="/document/5181709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стандартами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медицинской помощи мероприятий, приведшее к ухудшению состояния здоровья застрахованного лица, либо создавшее риск прогрессирования имеющегося заболевания, либо создавшее риск возникновения нового заболевания.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3.4.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Преждевременное с клинической точки зрения прекращение оказания медицинской помощи при отсутствии клинического эффекта (за исключением случаев отказа застрахованного лица от медицинского вмешательства в установленных законодательством Российской Федерации случаях).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3.5.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Нарушения при оказании медицинской помощи (в частности, преждевременная выписка из медицинской организации), вследствие которых, при отсутствии положительной динамики в состоянии здоровья, потребовалось повторное обоснованное обращение застрахованного лица за медицинской помощью по поводу того же заболевания в течение четырнадцати дней со дня окончания оказания медицинской помощи амбулаторно, тридцати дней стационарно (повторная госпитализация).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3.6.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по вине медицинской организации преемственности в оказании медицинской помощи (в том числе несвоевременный перевод пациента в медицинскую организацию более высокого уровня), приведшее к удлинению сроков оказания медицинской помощи и (или) ухудшению состояния здоровья застрахованного лица.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0,8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3.7.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в плановой или неотложной форме с нарушением требований к профильности оказанной медицинской помощи (непрофильная госпитализация), кроме случаев госпитализации в неотложной и экстренной форме с последующим переводом в течение суток в профильные медицинские организации (структурные подразделения медицинских организаций).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3.8.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Госпитализация застрахованного лица без медицинских показаний (необоснованная госпитализация), медицинская помощь которому могла быть предоставлена в установленном объеме амбулаторно, в дневном стационаре, отсутствие пациента в медицинской организации на дату проверки.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3.9.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Необоснованное повторное посещение врача одной и той же специальности в один день при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оказании медицинской помощи амбулаторно, за исключением повторного посещения для определения показаний к госпитализации, операции, консультациям в других медицинских организациях, в связи с выпиской лекарственных препаратов группам населения, при амбулаторном лечении которых лекарственные препараты отпускаются по рецептам врачей бесплатно и с 50-процентной скидкой, наблюдения беременных женщин, посещений, связанных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с выдачей справок и иных медицинских документов.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1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3.10.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Наличие расхождений клинического и патолого-анатомического диагнозов 2-3 категории, обусловленное </w:t>
            </w: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непроведением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необходимых диагностических исследований (за исключением оказания медицинской помощи в экстренной форме).</w:t>
            </w:r>
            <w:proofErr w:type="gramEnd"/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0,9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Отсутствие в медицинской документации результатов обследований, осмотров, консультаций специалистов, дневниковых записей, позволяющих оценить динамику состояния здоровья застрахованного лица, объем, характер, условия предоставления медицинской помощи и провести оценку качества оказанной медицинской помощи.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Нарушение прав застрахованных лиц на выбор медицинской организации из медицинских организаций, участвующих в реализации территориальной программы обязательного медицинского страхования, базовой программы обязательного медицинского страхования; на выбор врача.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0,3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Необоснованное назначение лекарственных препаратов; одновременное назначение лекарственных препаратов со схожим фармакологическим действием; нерациональная лекарственная терапия, в том числе несоответствие дозировок, кратности и длительности приема лекарственных препаратов с учетом </w:t>
            </w:r>
            <w:hyperlink r:id="rId47" w:anchor="/document/5181709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стандартов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 медицинской помощи и </w:t>
            </w:r>
            <w:hyperlink r:id="rId48" w:anchor="/document/57411597/entry/0" w:history="1">
              <w:r w:rsidRPr="00927861">
                <w:rPr>
                  <w:rFonts w:ascii="Times New Roman" w:eastAsia="Times New Roman" w:hAnsi="Times New Roman" w:cs="Times New Roman"/>
                  <w:color w:val="3272C0"/>
                  <w:u w:val="single"/>
                  <w:lang w:eastAsia="ru-RU"/>
                </w:rPr>
                <w:t>клинических рекомендаций</w:t>
              </w:r>
            </w:hyperlink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, связанные с риском для здоровья пациента.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0,5</w:t>
            </w: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0,6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Необоснованный отказ застрахованным лицам в оказании медицинской помощи в соответствии с программами обязательного медицинского страхования,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последующим ухудшением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3.14.3.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  <w:tr w:rsidR="00927861" w:rsidRPr="00927861" w:rsidTr="00EE0C71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</w:t>
            </w:r>
          </w:p>
        </w:tc>
        <w:tc>
          <w:tcPr>
            <w:tcW w:w="4326" w:type="pct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spell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Непроведение</w:t>
            </w:r>
            <w:proofErr w:type="spell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диспансерного наблюдения застрахованного лица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прохождения), включенного в группу диспансерного наблюдения, в соответствии с порядком и периодичностью проведения диспансерного наблюдения и перечнем включаемых в указанный порядок исследований, в том числе: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3.15.1.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с отсутствием последующего ухудшения состояния здоровья;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1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3.15.2.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с последующим ухудшением состояния здоровья </w:t>
            </w: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прохождения);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2</w:t>
            </w:r>
          </w:p>
        </w:tc>
      </w:tr>
      <w:tr w:rsidR="00927861" w:rsidRPr="00927861" w:rsidTr="00C11B53">
        <w:tc>
          <w:tcPr>
            <w:tcW w:w="67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lastRenderedPageBreak/>
              <w:t>3.15.3.</w:t>
            </w:r>
          </w:p>
        </w:tc>
        <w:tc>
          <w:tcPr>
            <w:tcW w:w="2513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927861" w:rsidRPr="00927861" w:rsidRDefault="00927861" w:rsidP="009278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proofErr w:type="gramStart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приведший</w:t>
            </w:r>
            <w:proofErr w:type="gramEnd"/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 xml:space="preserve"> к летальному исходу (за исключением случаев отказа застрахованного лица, проинформированного лечащим врачом и (или) страховым представителем о возможности прохождения диспансерного наблюдения, от его прохождения).</w:t>
            </w:r>
          </w:p>
        </w:tc>
        <w:tc>
          <w:tcPr>
            <w:tcW w:w="82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</w:p>
        </w:tc>
        <w:tc>
          <w:tcPr>
            <w:tcW w:w="98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  <w:hideMark/>
          </w:tcPr>
          <w:p w:rsidR="00927861" w:rsidRPr="00927861" w:rsidRDefault="00927861" w:rsidP="009278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22272F"/>
                <w:lang w:eastAsia="ru-RU"/>
              </w:rPr>
            </w:pPr>
            <w:r w:rsidRPr="00927861">
              <w:rPr>
                <w:rFonts w:ascii="Times New Roman" w:eastAsia="Times New Roman" w:hAnsi="Times New Roman" w:cs="Times New Roman"/>
                <w:color w:val="22272F"/>
                <w:lang w:eastAsia="ru-RU"/>
              </w:rPr>
              <w:t>3</w:t>
            </w:r>
          </w:p>
        </w:tc>
      </w:tr>
    </w:tbl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1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49" w:anchor="/document/72861778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от 12 октября 2019 г. N 2406-р (Собрание законодательства Российской Федерации, 2019, N 42, ст. 5979; 2020, N 48, ст. 7813).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2</w:t>
      </w:r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</w:t>
      </w:r>
      <w:hyperlink r:id="rId50" w:anchor="/document/72143892/entry/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Распоряжение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Правительства Российской Федерации 31 декабря 2018 г. N 3053-р (Собрание законодательства Российской Федерации, 2019, N 2, ст. 196; N 41, ст. 5780).</w:t>
      </w:r>
    </w:p>
    <w:p w:rsidR="00927861" w:rsidRPr="00927861" w:rsidRDefault="00927861" w:rsidP="00927861">
      <w:pPr>
        <w:shd w:val="clear" w:color="auto" w:fill="FFFFFF"/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</w:pPr>
      <w:r w:rsidRPr="00927861">
        <w:rPr>
          <w:rFonts w:ascii="Times New Roman" w:eastAsia="Times New Roman" w:hAnsi="Times New Roman" w:cs="Times New Roman"/>
          <w:color w:val="22272F"/>
          <w:sz w:val="15"/>
          <w:szCs w:val="15"/>
          <w:vertAlign w:val="superscript"/>
          <w:lang w:eastAsia="ru-RU"/>
        </w:rPr>
        <w:t>3</w:t>
      </w:r>
      <w:proofErr w:type="gramStart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В</w:t>
      </w:r>
      <w:proofErr w:type="gramEnd"/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 xml:space="preserve"> соответствии со </w:t>
      </w:r>
      <w:hyperlink r:id="rId51" w:anchor="/document/12191967/entry/20" w:history="1">
        <w:r w:rsidRPr="00927861">
          <w:rPr>
            <w:rFonts w:ascii="Times New Roman" w:eastAsia="Times New Roman" w:hAnsi="Times New Roman" w:cs="Times New Roman"/>
            <w:color w:val="3272C0"/>
            <w:sz w:val="21"/>
            <w:szCs w:val="21"/>
            <w:u w:val="single"/>
            <w:lang w:eastAsia="ru-RU"/>
          </w:rPr>
          <w:t>статьей 20</w:t>
        </w:r>
      </w:hyperlink>
      <w:r w:rsidRPr="00927861">
        <w:rPr>
          <w:rFonts w:ascii="Times New Roman" w:eastAsia="Times New Roman" w:hAnsi="Times New Roman" w:cs="Times New Roman"/>
          <w:color w:val="22272F"/>
          <w:sz w:val="21"/>
          <w:szCs w:val="21"/>
          <w:lang w:eastAsia="ru-RU"/>
        </w:rPr>
        <w:t> Федерального закона от 21 ноября 2011 г. N 323-ФЗ "Об основах охраны здоровья граждан в Российской Федерации (Собрание законодательства Российской Федерации, 2011, N 48, ст. 6724; 2020, N 29, ст. 4516).</w:t>
      </w:r>
    </w:p>
    <w:p w:rsidR="004746DC" w:rsidRDefault="004746DC"/>
    <w:sectPr w:rsidR="004746DC" w:rsidSect="00927861">
      <w:pgSz w:w="11906" w:h="16838"/>
      <w:pgMar w:top="851" w:right="851" w:bottom="851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27861"/>
    <w:rsid w:val="003A7230"/>
    <w:rsid w:val="004746DC"/>
    <w:rsid w:val="005277E9"/>
    <w:rsid w:val="00927861"/>
    <w:rsid w:val="00943065"/>
    <w:rsid w:val="00C11B53"/>
    <w:rsid w:val="00CA2C06"/>
    <w:rsid w:val="00EB601F"/>
    <w:rsid w:val="00EE0C71"/>
    <w:rsid w:val="00F40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link w:val="40"/>
    <w:uiPriority w:val="9"/>
    <w:qFormat/>
    <w:rsid w:val="00927861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rsid w:val="009278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s3">
    <w:name w:val="s_3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">
    <w:name w:val="s_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927861"/>
  </w:style>
  <w:style w:type="character" w:styleId="a3">
    <w:name w:val="Hyperlink"/>
    <w:basedOn w:val="a0"/>
    <w:uiPriority w:val="99"/>
    <w:semiHidden/>
    <w:unhideWhenUsed/>
    <w:rsid w:val="00927861"/>
    <w:rPr>
      <w:color w:val="0000FF"/>
      <w:u w:val="single"/>
    </w:rPr>
  </w:style>
  <w:style w:type="paragraph" w:customStyle="1" w:styleId="s16">
    <w:name w:val="s_16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22">
    <w:name w:val="s_22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mpty">
    <w:name w:val="empty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92786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927861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s91">
    <w:name w:val="s_91"/>
    <w:basedOn w:val="a"/>
    <w:rsid w:val="009278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833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173457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003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3459573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86629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54836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661327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277124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94377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13752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113388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29699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internet.garant.ru/" TargetMode="External"/><Relationship Id="rId18" Type="http://schemas.openxmlformats.org/officeDocument/2006/relationships/hyperlink" Target="https://internet.garant.ru/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https://internet.garant.ru/" TargetMode="External"/><Relationship Id="rId21" Type="http://schemas.openxmlformats.org/officeDocument/2006/relationships/hyperlink" Target="https://internet.garant.ru/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hyperlink" Target="https://internet.garant.ru/" TargetMode="External"/><Relationship Id="rId47" Type="http://schemas.openxmlformats.org/officeDocument/2006/relationships/hyperlink" Target="https://internet.garant.ru/" TargetMode="External"/><Relationship Id="rId50" Type="http://schemas.openxmlformats.org/officeDocument/2006/relationships/hyperlink" Target="https://internet.garant.ru/" TargetMode="External"/><Relationship Id="rId7" Type="http://schemas.openxmlformats.org/officeDocument/2006/relationships/hyperlink" Target="https://internet.garant.r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s://internet.garant.ru/" TargetMode="External"/><Relationship Id="rId29" Type="http://schemas.openxmlformats.org/officeDocument/2006/relationships/hyperlink" Target="https://internet.garant.ru/" TargetMode="External"/><Relationship Id="rId11" Type="http://schemas.openxmlformats.org/officeDocument/2006/relationships/hyperlink" Target="https://internet.garant.ru/" TargetMode="External"/><Relationship Id="rId24" Type="http://schemas.openxmlformats.org/officeDocument/2006/relationships/hyperlink" Target="https://internet.garant.ru/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https://internet.garant.ru/" TargetMode="External"/><Relationship Id="rId40" Type="http://schemas.openxmlformats.org/officeDocument/2006/relationships/hyperlink" Target="https://internet.garant.ru/" TargetMode="External"/><Relationship Id="rId45" Type="http://schemas.openxmlformats.org/officeDocument/2006/relationships/hyperlink" Target="https://internet.garant.ru/" TargetMode="External"/><Relationship Id="rId53" Type="http://schemas.openxmlformats.org/officeDocument/2006/relationships/theme" Target="theme/theme1.xml"/><Relationship Id="rId5" Type="http://schemas.openxmlformats.org/officeDocument/2006/relationships/hyperlink" Target="https://internet.garant.ru/" TargetMode="External"/><Relationship Id="rId10" Type="http://schemas.openxmlformats.org/officeDocument/2006/relationships/hyperlink" Target="https://internet.garant.ru/" TargetMode="External"/><Relationship Id="rId19" Type="http://schemas.openxmlformats.org/officeDocument/2006/relationships/hyperlink" Target="https://internet.garant.ru/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hyperlink" Target="https://internet.garant.ru/" TargetMode="External"/><Relationship Id="rId52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internet.garant.ru/" TargetMode="External"/><Relationship Id="rId14" Type="http://schemas.openxmlformats.org/officeDocument/2006/relationships/hyperlink" Target="https://internet.garant.ru/" TargetMode="External"/><Relationship Id="rId22" Type="http://schemas.openxmlformats.org/officeDocument/2006/relationships/hyperlink" Target="https://internet.garant.ru/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hyperlink" Target="https://internet.garant.ru/" TargetMode="External"/><Relationship Id="rId48" Type="http://schemas.openxmlformats.org/officeDocument/2006/relationships/hyperlink" Target="https://internet.garant.ru/" TargetMode="External"/><Relationship Id="rId8" Type="http://schemas.openxmlformats.org/officeDocument/2006/relationships/hyperlink" Target="https://internet.garant.ru/" TargetMode="External"/><Relationship Id="rId51" Type="http://schemas.openxmlformats.org/officeDocument/2006/relationships/hyperlink" Target="https://internet.garant.ru/" TargetMode="External"/><Relationship Id="rId3" Type="http://schemas.openxmlformats.org/officeDocument/2006/relationships/settings" Target="settings.xml"/><Relationship Id="rId12" Type="http://schemas.openxmlformats.org/officeDocument/2006/relationships/hyperlink" Target="https://internet.garant.ru/" TargetMode="External"/><Relationship Id="rId17" Type="http://schemas.openxmlformats.org/officeDocument/2006/relationships/hyperlink" Target="https://internet.garant.ru/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https://internet.garant.ru/" TargetMode="External"/><Relationship Id="rId46" Type="http://schemas.openxmlformats.org/officeDocument/2006/relationships/hyperlink" Target="https://internet.garant.ru/" TargetMode="External"/><Relationship Id="rId20" Type="http://schemas.openxmlformats.org/officeDocument/2006/relationships/hyperlink" Target="https://internet.garant.ru/" TargetMode="External"/><Relationship Id="rId41" Type="http://schemas.openxmlformats.org/officeDocument/2006/relationships/hyperlink" Target="https://internet.garant.ru/" TargetMode="External"/><Relationship Id="rId1" Type="http://schemas.openxmlformats.org/officeDocument/2006/relationships/styles" Target="styles.xml"/><Relationship Id="rId6" Type="http://schemas.openxmlformats.org/officeDocument/2006/relationships/hyperlink" Target="https://internet.garant.ru/" TargetMode="External"/><Relationship Id="rId15" Type="http://schemas.openxmlformats.org/officeDocument/2006/relationships/hyperlink" Target="https://internet.garant.ru/" TargetMode="External"/><Relationship Id="rId23" Type="http://schemas.openxmlformats.org/officeDocument/2006/relationships/hyperlink" Target="https://internet.garant.ru/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49" Type="http://schemas.openxmlformats.org/officeDocument/2006/relationships/hyperlink" Target="https://internet.garant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3926</Words>
  <Characters>22383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trifonova</dc:creator>
  <cp:lastModifiedBy>PavlovVI</cp:lastModifiedBy>
  <cp:revision>8</cp:revision>
  <dcterms:created xsi:type="dcterms:W3CDTF">2024-10-31T06:30:00Z</dcterms:created>
  <dcterms:modified xsi:type="dcterms:W3CDTF">2024-12-24T01:16:00Z</dcterms:modified>
</cp:coreProperties>
</file>